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4A" w:rsidRDefault="003172DD">
      <w:pPr>
        <w:rPr>
          <w:rFonts w:ascii="Times New Roman" w:hAnsi="Times New Roman" w:cs="Times New Roman"/>
          <w:b/>
          <w:sz w:val="23"/>
          <w:szCs w:val="23"/>
        </w:rPr>
      </w:pPr>
      <w:bookmarkStart w:id="0" w:name="_GoBack"/>
      <w:bookmarkEnd w:id="0"/>
      <w:r>
        <w:rPr>
          <w:rFonts w:ascii="Times New Roman" w:hAnsi="Times New Roman" w:cs="Times New Roman"/>
          <w:b/>
          <w:sz w:val="23"/>
          <w:szCs w:val="23"/>
        </w:rPr>
        <w:t>Internal Appeal Information – BHP Managed Plans</w:t>
      </w:r>
    </w:p>
    <w:p w:rsidR="003172DD" w:rsidRDefault="003172DD" w:rsidP="003172DD">
      <w:pPr>
        <w:spacing w:after="203" w:line="248" w:lineRule="auto"/>
        <w:ind w:left="-5" w:hanging="10"/>
        <w:rPr>
          <w:rFonts w:ascii="Times New Roman" w:hAnsi="Times New Roman" w:cs="Times New Roman"/>
          <w:sz w:val="23"/>
          <w:szCs w:val="23"/>
        </w:rPr>
      </w:pPr>
      <w:r w:rsidRPr="003172DD">
        <w:rPr>
          <w:rFonts w:ascii="Times New Roman" w:hAnsi="Times New Roman" w:cs="Times New Roman"/>
          <w:sz w:val="23"/>
          <w:szCs w:val="23"/>
        </w:rPr>
        <w:t xml:space="preserve">BHP complies with all regulatory guidelines and responsibilities as </w:t>
      </w:r>
      <w:r>
        <w:rPr>
          <w:rFonts w:ascii="Times New Roman" w:hAnsi="Times New Roman" w:cs="Times New Roman"/>
          <w:sz w:val="23"/>
          <w:szCs w:val="23"/>
        </w:rPr>
        <w:t>established in MN statute 62M.06</w:t>
      </w:r>
      <w:r w:rsidRPr="003172DD">
        <w:rPr>
          <w:rFonts w:ascii="Times New Roman" w:hAnsi="Times New Roman" w:cs="Times New Roman"/>
          <w:sz w:val="23"/>
          <w:szCs w:val="23"/>
        </w:rPr>
        <w:t>. BHP contracted managed health plans are responsible for informing al</w:t>
      </w:r>
      <w:r>
        <w:rPr>
          <w:rFonts w:ascii="Times New Roman" w:hAnsi="Times New Roman" w:cs="Times New Roman"/>
          <w:sz w:val="23"/>
          <w:szCs w:val="23"/>
        </w:rPr>
        <w:t xml:space="preserve">l enrollees of the right to an </w:t>
      </w:r>
      <w:r w:rsidRPr="003172DD">
        <w:rPr>
          <w:rFonts w:ascii="Times New Roman" w:hAnsi="Times New Roman" w:cs="Times New Roman"/>
          <w:sz w:val="23"/>
          <w:szCs w:val="23"/>
        </w:rPr>
        <w:t>appeal in their member communication materials</w:t>
      </w:r>
      <w:r>
        <w:rPr>
          <w:rFonts w:ascii="Times New Roman" w:hAnsi="Times New Roman" w:cs="Times New Roman"/>
          <w:sz w:val="23"/>
          <w:szCs w:val="23"/>
        </w:rPr>
        <w:t>.</w:t>
      </w:r>
    </w:p>
    <w:p w:rsidR="00B10DA6" w:rsidRDefault="00B10DA6" w:rsidP="00B10DA6">
      <w:pPr>
        <w:tabs>
          <w:tab w:val="left" w:pos="-1080"/>
        </w:tabs>
        <w:spacing w:before="240"/>
        <w:ind w:left="-15"/>
        <w:rPr>
          <w:rFonts w:ascii="Times New Roman" w:hAnsi="Times New Roman" w:cs="Times New Roman"/>
          <w:sz w:val="23"/>
          <w:szCs w:val="23"/>
        </w:rPr>
      </w:pPr>
      <w:r w:rsidRPr="00B10DA6">
        <w:rPr>
          <w:rFonts w:ascii="Times New Roman" w:hAnsi="Times New Roman" w:cs="Times New Roman"/>
          <w:sz w:val="23"/>
          <w:szCs w:val="23"/>
        </w:rPr>
        <w:t xml:space="preserve">Upon request and free of charge, you have the right to receive copies of the following by contacting BHP: Relevant information used to make this determination, and the internal rule, guidelines, or protocol that was relied upon in making this determination, if any.  </w:t>
      </w:r>
    </w:p>
    <w:p w:rsidR="00B10DA6" w:rsidRDefault="00B10DA6" w:rsidP="00B10DA6">
      <w:pPr>
        <w:tabs>
          <w:tab w:val="left" w:pos="-1080"/>
        </w:tabs>
        <w:spacing w:before="240"/>
        <w:ind w:left="-15"/>
        <w:rPr>
          <w:rFonts w:ascii="Times New Roman" w:hAnsi="Times New Roman" w:cs="Times New Roman"/>
          <w:b/>
          <w:sz w:val="23"/>
          <w:szCs w:val="23"/>
        </w:rPr>
      </w:pPr>
      <w:r>
        <w:rPr>
          <w:rFonts w:ascii="Times New Roman" w:hAnsi="Times New Roman" w:cs="Times New Roman"/>
          <w:b/>
          <w:sz w:val="23"/>
          <w:szCs w:val="23"/>
        </w:rPr>
        <w:t>Continued Coverage</w:t>
      </w:r>
    </w:p>
    <w:p w:rsidR="003172DD" w:rsidRDefault="00B10DA6" w:rsidP="00B10DA6">
      <w:pPr>
        <w:tabs>
          <w:tab w:val="left" w:pos="-1080"/>
        </w:tabs>
        <w:spacing w:before="240"/>
        <w:ind w:left="-15"/>
        <w:rPr>
          <w:rFonts w:ascii="Times New Roman" w:hAnsi="Times New Roman" w:cs="Times New Roman"/>
          <w:sz w:val="23"/>
          <w:szCs w:val="23"/>
        </w:rPr>
      </w:pPr>
      <w:r w:rsidRPr="007557A1">
        <w:rPr>
          <w:rFonts w:ascii="Times New Roman" w:hAnsi="Times New Roman" w:cs="Times New Roman"/>
          <w:sz w:val="23"/>
          <w:szCs w:val="23"/>
        </w:rPr>
        <w:t xml:space="preserve">BHP allows for members to have continued coverage under their medical benefit pending the outcome of an internal appeal.  This applies only to concurrent care decisions if BHP has approved an ongoing course of treatment and any denial, reduction or termination of such course of treatment before the end of such </w:t>
      </w:r>
      <w:proofErr w:type="gramStart"/>
      <w:r w:rsidRPr="007557A1">
        <w:rPr>
          <w:rFonts w:ascii="Times New Roman" w:hAnsi="Times New Roman" w:cs="Times New Roman"/>
          <w:sz w:val="23"/>
          <w:szCs w:val="23"/>
        </w:rPr>
        <w:t>period of</w:t>
      </w:r>
      <w:r w:rsidR="00625BB9">
        <w:rPr>
          <w:rFonts w:ascii="Times New Roman" w:hAnsi="Times New Roman" w:cs="Times New Roman"/>
          <w:sz w:val="23"/>
          <w:szCs w:val="23"/>
        </w:rPr>
        <w:t xml:space="preserve"> time</w:t>
      </w:r>
      <w:proofErr w:type="gramEnd"/>
      <w:r w:rsidR="00625BB9">
        <w:rPr>
          <w:rFonts w:ascii="Times New Roman" w:hAnsi="Times New Roman" w:cs="Times New Roman"/>
          <w:sz w:val="23"/>
          <w:szCs w:val="23"/>
        </w:rPr>
        <w:t xml:space="preserve"> or number of treatments. </w:t>
      </w:r>
      <w:r w:rsidRPr="007557A1">
        <w:rPr>
          <w:rFonts w:ascii="Times New Roman" w:hAnsi="Times New Roman" w:cs="Times New Roman"/>
          <w:sz w:val="23"/>
          <w:szCs w:val="23"/>
        </w:rPr>
        <w:t xml:space="preserve">This does not apply to requests for extension of the course of treatment beyond the already approved period or number.  </w:t>
      </w:r>
    </w:p>
    <w:p w:rsidR="00B10DA6" w:rsidRDefault="00B10DA6" w:rsidP="00B10DA6">
      <w:pPr>
        <w:tabs>
          <w:tab w:val="left" w:pos="-1080"/>
        </w:tabs>
        <w:spacing w:before="240"/>
        <w:ind w:left="-15"/>
        <w:rPr>
          <w:rFonts w:ascii="Times New Roman" w:hAnsi="Times New Roman" w:cs="Times New Roman"/>
          <w:b/>
          <w:sz w:val="23"/>
          <w:szCs w:val="23"/>
        </w:rPr>
      </w:pPr>
      <w:r>
        <w:rPr>
          <w:rFonts w:ascii="Times New Roman" w:hAnsi="Times New Roman" w:cs="Times New Roman"/>
          <w:b/>
          <w:sz w:val="23"/>
          <w:szCs w:val="23"/>
        </w:rPr>
        <w:t xml:space="preserve">Internal Appeal Rights – </w:t>
      </w:r>
      <w:proofErr w:type="spellStart"/>
      <w:r>
        <w:rPr>
          <w:rFonts w:ascii="Times New Roman" w:hAnsi="Times New Roman" w:cs="Times New Roman"/>
          <w:b/>
          <w:sz w:val="23"/>
          <w:szCs w:val="23"/>
        </w:rPr>
        <w:t>PreferredOne</w:t>
      </w:r>
      <w:proofErr w:type="spellEnd"/>
      <w:r>
        <w:rPr>
          <w:rFonts w:ascii="Times New Roman" w:hAnsi="Times New Roman" w:cs="Times New Roman"/>
          <w:b/>
          <w:sz w:val="23"/>
          <w:szCs w:val="23"/>
        </w:rPr>
        <w:t xml:space="preserve"> Self-Funded Plans</w:t>
      </w:r>
    </w:p>
    <w:p w:rsidR="00625BB9" w:rsidRDefault="00625BB9" w:rsidP="00625BB9">
      <w:pPr>
        <w:tabs>
          <w:tab w:val="left" w:pos="-1080"/>
        </w:tabs>
        <w:spacing w:before="240"/>
        <w:ind w:left="-15"/>
        <w:rPr>
          <w:rFonts w:ascii="Times New Roman" w:hAnsi="Times New Roman" w:cs="Times New Roman"/>
          <w:sz w:val="23"/>
          <w:szCs w:val="23"/>
        </w:rPr>
      </w:pPr>
      <w:r w:rsidRPr="00625BB9">
        <w:rPr>
          <w:rFonts w:ascii="Times New Roman" w:hAnsi="Times New Roman" w:cs="Times New Roman"/>
          <w:sz w:val="23"/>
          <w:szCs w:val="23"/>
        </w:rPr>
        <w:t xml:space="preserve">If </w:t>
      </w:r>
      <w:r w:rsidRPr="00625BB9">
        <w:rPr>
          <w:rFonts w:ascii="Times New Roman" w:hAnsi="Times New Roman" w:cs="Times New Roman"/>
          <w:i/>
          <w:sz w:val="23"/>
          <w:szCs w:val="23"/>
        </w:rPr>
        <w:t>your</w:t>
      </w:r>
      <w:r w:rsidRPr="00625BB9">
        <w:rPr>
          <w:rFonts w:ascii="Times New Roman" w:hAnsi="Times New Roman" w:cs="Times New Roman"/>
          <w:sz w:val="23"/>
          <w:szCs w:val="23"/>
        </w:rPr>
        <w:t xml:space="preserve"> request or claim is wholly or partially denied, reduced, or terminated based on medical judgment, </w:t>
      </w:r>
      <w:r w:rsidRPr="00625BB9">
        <w:rPr>
          <w:rFonts w:ascii="Times New Roman" w:hAnsi="Times New Roman" w:cs="Times New Roman"/>
          <w:i/>
          <w:sz w:val="23"/>
          <w:szCs w:val="23"/>
        </w:rPr>
        <w:t>you</w:t>
      </w:r>
      <w:r w:rsidRPr="00625BB9">
        <w:rPr>
          <w:rFonts w:ascii="Times New Roman" w:hAnsi="Times New Roman" w:cs="Times New Roman"/>
          <w:sz w:val="23"/>
          <w:szCs w:val="23"/>
        </w:rPr>
        <w:t xml:space="preserve"> may have a right to ha</w:t>
      </w:r>
      <w:r>
        <w:rPr>
          <w:rFonts w:ascii="Times New Roman" w:hAnsi="Times New Roman" w:cs="Times New Roman"/>
          <w:sz w:val="23"/>
          <w:szCs w:val="23"/>
        </w:rPr>
        <w:t xml:space="preserve">ve such decision reviewed by a physician who did not make the initial determination not to certify. </w:t>
      </w:r>
    </w:p>
    <w:p w:rsidR="00B10DA6" w:rsidRDefault="003172DD" w:rsidP="00625BB9">
      <w:pPr>
        <w:pStyle w:val="ListParagraph"/>
        <w:numPr>
          <w:ilvl w:val="0"/>
          <w:numId w:val="4"/>
        </w:numPr>
        <w:tabs>
          <w:tab w:val="left" w:pos="-1080"/>
        </w:tabs>
        <w:spacing w:before="240"/>
      </w:pPr>
      <w:r w:rsidRPr="00625BB9">
        <w:rPr>
          <w:rFonts w:ascii="Times New Roman" w:hAnsi="Times New Roman" w:cs="Times New Roman"/>
          <w:b/>
          <w:sz w:val="23"/>
          <w:szCs w:val="23"/>
        </w:rPr>
        <w:t>Standard Internal Appeal</w:t>
      </w:r>
      <w:r w:rsidR="007557A1" w:rsidRPr="00625BB9">
        <w:rPr>
          <w:rFonts w:ascii="Times New Roman" w:hAnsi="Times New Roman" w:cs="Times New Roman"/>
          <w:b/>
          <w:sz w:val="23"/>
          <w:szCs w:val="23"/>
        </w:rPr>
        <w:t xml:space="preserve"> </w:t>
      </w:r>
      <w:r w:rsidR="00B10DA6" w:rsidRPr="00625BB9">
        <w:rPr>
          <w:rFonts w:ascii="Times New Roman" w:hAnsi="Times New Roman" w:cs="Times New Roman"/>
          <w:sz w:val="23"/>
          <w:szCs w:val="23"/>
        </w:rPr>
        <w:t xml:space="preserve">If </w:t>
      </w:r>
      <w:r w:rsidR="00B10DA6" w:rsidRPr="00625BB9">
        <w:rPr>
          <w:rFonts w:ascii="Times New Roman" w:hAnsi="Times New Roman" w:cs="Times New Roman"/>
          <w:i/>
          <w:sz w:val="23"/>
          <w:szCs w:val="23"/>
        </w:rPr>
        <w:t>your</w:t>
      </w:r>
      <w:r w:rsidR="00B10DA6" w:rsidRPr="00625BB9">
        <w:rPr>
          <w:rFonts w:ascii="Times New Roman" w:hAnsi="Times New Roman" w:cs="Times New Roman"/>
          <w:sz w:val="23"/>
          <w:szCs w:val="23"/>
        </w:rPr>
        <w:t xml:space="preserve"> request for pre-certification of non-acute care services is wholly or partially denied and </w:t>
      </w:r>
      <w:r w:rsidR="00B10DA6" w:rsidRPr="00625BB9">
        <w:rPr>
          <w:rFonts w:ascii="Times New Roman" w:hAnsi="Times New Roman" w:cs="Times New Roman"/>
          <w:i/>
          <w:sz w:val="23"/>
          <w:szCs w:val="23"/>
        </w:rPr>
        <w:t>you</w:t>
      </w:r>
      <w:r w:rsidR="00B10DA6" w:rsidRPr="00625BB9">
        <w:rPr>
          <w:rFonts w:ascii="Times New Roman" w:hAnsi="Times New Roman" w:cs="Times New Roman"/>
          <w:sz w:val="23"/>
          <w:szCs w:val="23"/>
        </w:rPr>
        <w:t xml:space="preserve"> have not received such non-acute care services, or if </w:t>
      </w:r>
      <w:r w:rsidR="00B10DA6" w:rsidRPr="00625BB9">
        <w:rPr>
          <w:rFonts w:ascii="Times New Roman" w:hAnsi="Times New Roman" w:cs="Times New Roman"/>
          <w:i/>
          <w:sz w:val="23"/>
          <w:szCs w:val="23"/>
        </w:rPr>
        <w:t>you</w:t>
      </w:r>
      <w:r w:rsidR="00B10DA6" w:rsidRPr="00625BB9">
        <w:rPr>
          <w:rFonts w:ascii="Times New Roman" w:hAnsi="Times New Roman" w:cs="Times New Roman"/>
          <w:sz w:val="23"/>
          <w:szCs w:val="23"/>
        </w:rPr>
        <w:t xml:space="preserve"> are currently receiving non-acute care services and a request for the continuation of these services is wholly or partially denied, </w:t>
      </w:r>
      <w:r w:rsidR="00B10DA6" w:rsidRPr="00625BB9">
        <w:rPr>
          <w:rFonts w:ascii="Times New Roman" w:hAnsi="Times New Roman" w:cs="Times New Roman"/>
          <w:i/>
          <w:sz w:val="23"/>
          <w:szCs w:val="23"/>
        </w:rPr>
        <w:t>you or your</w:t>
      </w:r>
      <w:r w:rsidR="00B10DA6" w:rsidRPr="00625BB9">
        <w:rPr>
          <w:rFonts w:ascii="Times New Roman" w:hAnsi="Times New Roman" w:cs="Times New Roman"/>
          <w:sz w:val="23"/>
          <w:szCs w:val="23"/>
        </w:rPr>
        <w:t xml:space="preserve"> authorized representative (appointed family member, treating practitioner, appointed attorney, </w:t>
      </w:r>
      <w:proofErr w:type="spellStart"/>
      <w:r w:rsidR="00B10DA6" w:rsidRPr="00625BB9">
        <w:rPr>
          <w:rFonts w:ascii="Times New Roman" w:hAnsi="Times New Roman" w:cs="Times New Roman"/>
          <w:sz w:val="23"/>
          <w:szCs w:val="23"/>
        </w:rPr>
        <w:t>etc</w:t>
      </w:r>
      <w:proofErr w:type="spellEnd"/>
      <w:r w:rsidR="00B10DA6" w:rsidRPr="00625BB9">
        <w:rPr>
          <w:rFonts w:ascii="Times New Roman" w:hAnsi="Times New Roman" w:cs="Times New Roman"/>
          <w:sz w:val="23"/>
          <w:szCs w:val="23"/>
        </w:rPr>
        <w:t xml:space="preserve">) may submit an appeal within 180 calendar days after receiving notice that </w:t>
      </w:r>
      <w:r w:rsidR="00B10DA6" w:rsidRPr="00625BB9">
        <w:rPr>
          <w:rFonts w:ascii="Times New Roman" w:hAnsi="Times New Roman" w:cs="Times New Roman"/>
          <w:i/>
          <w:sz w:val="23"/>
          <w:szCs w:val="23"/>
        </w:rPr>
        <w:t xml:space="preserve">your </w:t>
      </w:r>
      <w:r w:rsidR="00B10DA6" w:rsidRPr="00625BB9">
        <w:rPr>
          <w:rFonts w:ascii="Times New Roman" w:hAnsi="Times New Roman" w:cs="Times New Roman"/>
          <w:sz w:val="23"/>
          <w:szCs w:val="23"/>
        </w:rPr>
        <w:t xml:space="preserve">request is denied.  </w:t>
      </w:r>
      <w:r w:rsidR="00B10DA6" w:rsidRPr="00625BB9">
        <w:rPr>
          <w:rFonts w:ascii="Times New Roman" w:hAnsi="Times New Roman" w:cs="Times New Roman"/>
          <w:i/>
          <w:sz w:val="23"/>
          <w:szCs w:val="23"/>
        </w:rPr>
        <w:t>Your</w:t>
      </w:r>
      <w:r w:rsidR="00B10DA6" w:rsidRPr="00625BB9">
        <w:rPr>
          <w:rFonts w:ascii="Times New Roman" w:hAnsi="Times New Roman" w:cs="Times New Roman"/>
          <w:sz w:val="23"/>
          <w:szCs w:val="23"/>
        </w:rPr>
        <w:t xml:space="preserve"> appeal can be submitted to BHP in writing, along with any issues, comments, and additional information, as appropriate.</w:t>
      </w:r>
      <w:r w:rsidR="00B10DA6" w:rsidRPr="00450A8B">
        <w:t xml:space="preserve">  </w:t>
      </w:r>
    </w:p>
    <w:p w:rsidR="00B10DA6" w:rsidRPr="00B10DA6" w:rsidRDefault="00B10DA6" w:rsidP="00B10DA6">
      <w:pPr>
        <w:ind w:left="345"/>
        <w:rPr>
          <w:rFonts w:ascii="Times New Roman" w:hAnsi="Times New Roman" w:cs="Times New Roman"/>
          <w:sz w:val="23"/>
          <w:szCs w:val="23"/>
        </w:rPr>
      </w:pPr>
      <w:r w:rsidRPr="00B10DA6">
        <w:rPr>
          <w:rFonts w:ascii="Times New Roman" w:hAnsi="Times New Roman" w:cs="Times New Roman"/>
          <w:sz w:val="23"/>
          <w:szCs w:val="23"/>
        </w:rPr>
        <w:t xml:space="preserve">Within 30 calendar days after your appeal request is received by BHP, </w:t>
      </w:r>
      <w:r w:rsidRPr="00B10DA6">
        <w:rPr>
          <w:rFonts w:ascii="Times New Roman" w:hAnsi="Times New Roman" w:cs="Times New Roman"/>
          <w:i/>
          <w:sz w:val="23"/>
          <w:szCs w:val="23"/>
        </w:rPr>
        <w:t>you</w:t>
      </w:r>
      <w:r w:rsidRPr="00B10DA6">
        <w:rPr>
          <w:rFonts w:ascii="Times New Roman" w:hAnsi="Times New Roman" w:cs="Times New Roman"/>
          <w:sz w:val="23"/>
          <w:szCs w:val="23"/>
        </w:rPr>
        <w:t xml:space="preserve"> will receive notice of BHP’s decision, including the specific reasons for it and references to the part of the </w:t>
      </w:r>
      <w:r w:rsidRPr="00B10DA6">
        <w:rPr>
          <w:rFonts w:ascii="Times New Roman" w:hAnsi="Times New Roman" w:cs="Times New Roman"/>
          <w:i/>
          <w:sz w:val="23"/>
          <w:szCs w:val="23"/>
        </w:rPr>
        <w:t>Plan</w:t>
      </w:r>
      <w:r w:rsidRPr="00B10DA6">
        <w:rPr>
          <w:rFonts w:ascii="Times New Roman" w:hAnsi="Times New Roman" w:cs="Times New Roman"/>
          <w:sz w:val="23"/>
          <w:szCs w:val="23"/>
        </w:rPr>
        <w:t xml:space="preserve"> on which it is based, and the procedure for requesting an external appeal from the </w:t>
      </w:r>
      <w:r w:rsidRPr="00B10DA6">
        <w:rPr>
          <w:rFonts w:ascii="Times New Roman" w:hAnsi="Times New Roman" w:cs="Times New Roman"/>
          <w:i/>
          <w:sz w:val="23"/>
          <w:szCs w:val="23"/>
        </w:rPr>
        <w:t>Plan Administrator (</w:t>
      </w:r>
      <w:proofErr w:type="spellStart"/>
      <w:r w:rsidRPr="00B10DA6">
        <w:rPr>
          <w:rFonts w:ascii="Times New Roman" w:hAnsi="Times New Roman" w:cs="Times New Roman"/>
          <w:i/>
          <w:sz w:val="23"/>
          <w:szCs w:val="23"/>
        </w:rPr>
        <w:t>PreferredOne</w:t>
      </w:r>
      <w:proofErr w:type="spellEnd"/>
      <w:r w:rsidRPr="00B10DA6">
        <w:rPr>
          <w:rFonts w:ascii="Times New Roman" w:hAnsi="Times New Roman" w:cs="Times New Roman"/>
          <w:i/>
          <w:sz w:val="23"/>
          <w:szCs w:val="23"/>
        </w:rPr>
        <w:t>)</w:t>
      </w:r>
      <w:r>
        <w:rPr>
          <w:rFonts w:ascii="Times New Roman" w:hAnsi="Times New Roman" w:cs="Times New Roman"/>
          <w:sz w:val="23"/>
          <w:szCs w:val="23"/>
        </w:rPr>
        <w:t xml:space="preserve">. </w:t>
      </w:r>
      <w:r w:rsidRPr="00B10DA6">
        <w:rPr>
          <w:rFonts w:ascii="Times New Roman" w:hAnsi="Times New Roman" w:cs="Times New Roman"/>
          <w:sz w:val="23"/>
          <w:szCs w:val="23"/>
        </w:rPr>
        <w:t xml:space="preserve">This </w:t>
      </w:r>
      <w:proofErr w:type="gramStart"/>
      <w:r w:rsidRPr="00B10DA6">
        <w:rPr>
          <w:rFonts w:ascii="Times New Roman" w:hAnsi="Times New Roman" w:cs="Times New Roman"/>
          <w:sz w:val="23"/>
          <w:szCs w:val="23"/>
        </w:rPr>
        <w:t>time period</w:t>
      </w:r>
      <w:proofErr w:type="gramEnd"/>
      <w:r w:rsidRPr="00B10DA6">
        <w:rPr>
          <w:rFonts w:ascii="Times New Roman" w:hAnsi="Times New Roman" w:cs="Times New Roman"/>
          <w:sz w:val="23"/>
          <w:szCs w:val="23"/>
        </w:rPr>
        <w:t xml:space="preserve"> may be extended if </w:t>
      </w:r>
      <w:r w:rsidRPr="00B10DA6">
        <w:rPr>
          <w:rFonts w:ascii="Times New Roman" w:hAnsi="Times New Roman" w:cs="Times New Roman"/>
          <w:i/>
          <w:sz w:val="23"/>
          <w:szCs w:val="23"/>
        </w:rPr>
        <w:t>you</w:t>
      </w:r>
      <w:r w:rsidRPr="00B10DA6">
        <w:rPr>
          <w:rFonts w:ascii="Times New Roman" w:hAnsi="Times New Roman" w:cs="Times New Roman"/>
          <w:sz w:val="23"/>
          <w:szCs w:val="23"/>
        </w:rPr>
        <w:t xml:space="preserve"> agree.</w:t>
      </w:r>
    </w:p>
    <w:p w:rsidR="00B10DA6" w:rsidRPr="00B10DA6" w:rsidRDefault="00B10DA6" w:rsidP="00B10DA6">
      <w:pPr>
        <w:ind w:left="345"/>
        <w:rPr>
          <w:rFonts w:ascii="Times New Roman" w:hAnsi="Times New Roman" w:cs="Times New Roman"/>
          <w:sz w:val="23"/>
          <w:szCs w:val="23"/>
        </w:rPr>
      </w:pPr>
      <w:r w:rsidRPr="00B10DA6">
        <w:rPr>
          <w:rFonts w:ascii="Times New Roman" w:hAnsi="Times New Roman" w:cs="Times New Roman"/>
          <w:sz w:val="23"/>
          <w:szCs w:val="23"/>
        </w:rPr>
        <w:t>Your group benefit plan is governed by the Employee Retirement Income Security Act of 1974 (“ERISA”), you have the right to bring a civil action under Section 502(a) ERISA, if you receive an adverse determination after all appeal reviews required by your plan have been completed.</w:t>
      </w:r>
    </w:p>
    <w:p w:rsidR="00625BB9" w:rsidRDefault="00B10DA6" w:rsidP="00625BB9">
      <w:pPr>
        <w:ind w:left="345"/>
      </w:pPr>
      <w:r w:rsidRPr="00B10DA6">
        <w:rPr>
          <w:rFonts w:ascii="Times New Roman" w:hAnsi="Times New Roman" w:cs="Times New Roman"/>
          <w:sz w:val="23"/>
          <w:szCs w:val="23"/>
        </w:rPr>
        <w:lastRenderedPageBreak/>
        <w:t>The level of benefits provided will be determined by the terms and conditions</w:t>
      </w:r>
      <w:r>
        <w:rPr>
          <w:rFonts w:ascii="Times New Roman" w:hAnsi="Times New Roman" w:cs="Times New Roman"/>
          <w:sz w:val="23"/>
          <w:szCs w:val="23"/>
        </w:rPr>
        <w:t xml:space="preserve"> of the benefit plan language. </w:t>
      </w:r>
      <w:r w:rsidRPr="00B10DA6">
        <w:rPr>
          <w:rFonts w:ascii="Times New Roman" w:hAnsi="Times New Roman" w:cs="Times New Roman"/>
          <w:sz w:val="23"/>
          <w:szCs w:val="23"/>
        </w:rPr>
        <w:t>All benefits and final payment determinations are made at the time of claims submission.</w:t>
      </w:r>
    </w:p>
    <w:p w:rsidR="003172DD" w:rsidRPr="00625BB9" w:rsidRDefault="003172DD" w:rsidP="00625BB9">
      <w:pPr>
        <w:pStyle w:val="ListParagraph"/>
        <w:numPr>
          <w:ilvl w:val="0"/>
          <w:numId w:val="4"/>
        </w:numPr>
      </w:pPr>
      <w:r w:rsidRPr="00625BB9">
        <w:rPr>
          <w:rFonts w:ascii="Times New Roman" w:hAnsi="Times New Roman" w:cs="Times New Roman"/>
          <w:b/>
          <w:sz w:val="23"/>
          <w:szCs w:val="23"/>
        </w:rPr>
        <w:t xml:space="preserve">Expedited Internal Appeal </w:t>
      </w:r>
      <w:r w:rsidR="007557A1" w:rsidRPr="00625BB9">
        <w:rPr>
          <w:rFonts w:ascii="Times New Roman" w:hAnsi="Times New Roman" w:cs="Times New Roman"/>
          <w:i/>
          <w:sz w:val="23"/>
          <w:szCs w:val="23"/>
        </w:rPr>
        <w:t>You</w:t>
      </w:r>
      <w:r w:rsidR="007557A1" w:rsidRPr="00625BB9">
        <w:rPr>
          <w:rFonts w:ascii="Times New Roman" w:hAnsi="Times New Roman" w:cs="Times New Roman"/>
          <w:sz w:val="23"/>
          <w:szCs w:val="23"/>
        </w:rPr>
        <w:t xml:space="preserve"> may request an expedited internal review if:</w:t>
      </w:r>
    </w:p>
    <w:p w:rsidR="007557A1" w:rsidRPr="007557A1" w:rsidRDefault="007557A1" w:rsidP="007557A1">
      <w:pPr>
        <w:pStyle w:val="ListParagraph"/>
        <w:numPr>
          <w:ilvl w:val="0"/>
          <w:numId w:val="3"/>
        </w:numPr>
        <w:spacing w:after="203" w:line="248" w:lineRule="auto"/>
        <w:rPr>
          <w:rFonts w:ascii="Times New Roman" w:hAnsi="Times New Roman" w:cs="Times New Roman"/>
          <w:sz w:val="23"/>
          <w:szCs w:val="23"/>
        </w:rPr>
      </w:pPr>
      <w:r>
        <w:rPr>
          <w:rFonts w:ascii="Times New Roman" w:hAnsi="Times New Roman" w:cs="Times New Roman"/>
          <w:sz w:val="23"/>
          <w:szCs w:val="23"/>
        </w:rPr>
        <w:t>The initial determination not to certify a health care service is made prior to or during an ongoing service requiring review and the attending health care professional believes that the determination warrants an expedited appeal. BHP</w:t>
      </w:r>
      <w:r w:rsidR="00B10DA6">
        <w:rPr>
          <w:rFonts w:ascii="Times New Roman" w:hAnsi="Times New Roman" w:cs="Times New Roman"/>
          <w:sz w:val="23"/>
          <w:szCs w:val="23"/>
        </w:rPr>
        <w:t xml:space="preserve"> allows for members and the attending health care processional to appeal the determination over the telephone as expeditiously as the member’s medical condition requires, but no later than 72 hours after receiving the expedited appeal.</w:t>
      </w:r>
    </w:p>
    <w:p w:rsidR="003172DD" w:rsidRPr="003172DD" w:rsidRDefault="003172DD">
      <w:pPr>
        <w:rPr>
          <w:rFonts w:ascii="Times New Roman" w:hAnsi="Times New Roman" w:cs="Times New Roman"/>
          <w:sz w:val="23"/>
          <w:szCs w:val="23"/>
        </w:rPr>
      </w:pPr>
    </w:p>
    <w:sectPr w:rsidR="003172DD" w:rsidRPr="003172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DD" w:rsidRDefault="003172DD" w:rsidP="003172DD">
      <w:pPr>
        <w:spacing w:after="0" w:line="240" w:lineRule="auto"/>
      </w:pPr>
      <w:r>
        <w:separator/>
      </w:r>
    </w:p>
  </w:endnote>
  <w:endnote w:type="continuationSeparator" w:id="0">
    <w:p w:rsidR="003172DD" w:rsidRDefault="003172DD" w:rsidP="0031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DD" w:rsidRPr="00B55A24" w:rsidRDefault="003172DD" w:rsidP="003172DD">
    <w:pPr>
      <w:pStyle w:val="Footer"/>
      <w:jc w:val="center"/>
    </w:pPr>
    <w:r>
      <w:t>Copyright ©201</w:t>
    </w:r>
    <w:r w:rsidR="007557A1">
      <w:t>7</w:t>
    </w:r>
    <w:r w:rsidRPr="00B55A24">
      <w:t> Behavioral Healthcare Providers. All Rights Reserved.</w:t>
    </w:r>
  </w:p>
  <w:p w:rsidR="003172DD" w:rsidRDefault="00317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DD" w:rsidRDefault="003172DD" w:rsidP="003172DD">
      <w:pPr>
        <w:spacing w:after="0" w:line="240" w:lineRule="auto"/>
      </w:pPr>
      <w:r>
        <w:separator/>
      </w:r>
    </w:p>
  </w:footnote>
  <w:footnote w:type="continuationSeparator" w:id="0">
    <w:p w:rsidR="003172DD" w:rsidRDefault="003172DD" w:rsidP="0031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DD" w:rsidRDefault="003172DD" w:rsidP="003172DD">
    <w:pPr>
      <w:pStyle w:val="Header"/>
      <w:jc w:val="center"/>
    </w:pPr>
    <w:r>
      <w:rPr>
        <w:noProof/>
      </w:rPr>
      <w:drawing>
        <wp:inline distT="0" distB="0" distL="0" distR="0" wp14:anchorId="4B46CD51" wp14:editId="763F8732">
          <wp:extent cx="3168142" cy="118905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3168142" cy="1189050"/>
                  </a:xfrm>
                  <a:prstGeom prst="rect">
                    <a:avLst/>
                  </a:prstGeom>
                </pic:spPr>
              </pic:pic>
            </a:graphicData>
          </a:graphic>
        </wp:inline>
      </w:drawing>
    </w:r>
  </w:p>
  <w:p w:rsidR="003172DD" w:rsidRDefault="00317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8F5"/>
    <w:multiLevelType w:val="hybridMultilevel"/>
    <w:tmpl w:val="8BF499CC"/>
    <w:lvl w:ilvl="0" w:tplc="EA6836A4">
      <w:start w:val="1"/>
      <w:numFmt w:val="decimal"/>
      <w:lvlText w:val="%1."/>
      <w:lvlJc w:val="left"/>
      <w:pPr>
        <w:ind w:left="345" w:hanging="360"/>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4AF0893"/>
    <w:multiLevelType w:val="hybridMultilevel"/>
    <w:tmpl w:val="5CF23392"/>
    <w:lvl w:ilvl="0" w:tplc="CCC8C48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43E142B0"/>
    <w:multiLevelType w:val="hybridMultilevel"/>
    <w:tmpl w:val="E2AECD44"/>
    <w:lvl w:ilvl="0" w:tplc="B90EE580">
      <w:start w:val="1"/>
      <w:numFmt w:val="decimal"/>
      <w:lvlText w:val="%1."/>
      <w:lvlJc w:val="left"/>
      <w:pPr>
        <w:ind w:left="345" w:hanging="360"/>
      </w:pPr>
      <w:rPr>
        <w:rFonts w:ascii="Times New Roman" w:hAnsi="Times New Roman" w:cs="Times New Roman" w:hint="default"/>
        <w:sz w:val="23"/>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70442413"/>
    <w:multiLevelType w:val="hybridMultilevel"/>
    <w:tmpl w:val="5EB856E6"/>
    <w:lvl w:ilvl="0" w:tplc="36E43E5A">
      <w:start w:val="1"/>
      <w:numFmt w:val="decimal"/>
      <w:lvlText w:val="%1."/>
      <w:lvlJc w:val="left"/>
      <w:pPr>
        <w:ind w:left="345" w:hanging="360"/>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24"/>
    <w:rsid w:val="003172DD"/>
    <w:rsid w:val="00625BB9"/>
    <w:rsid w:val="007557A1"/>
    <w:rsid w:val="00B10DA6"/>
    <w:rsid w:val="00CA2524"/>
    <w:rsid w:val="00DA6B61"/>
    <w:rsid w:val="00DB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AFF0A-12C5-490D-BBD7-EB3202CA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7557A1"/>
    <w:pPr>
      <w:keepNext/>
      <w:spacing w:after="0" w:line="240" w:lineRule="auto"/>
      <w:ind w:firstLine="72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DD"/>
  </w:style>
  <w:style w:type="paragraph" w:styleId="Footer">
    <w:name w:val="footer"/>
    <w:basedOn w:val="Normal"/>
    <w:link w:val="FooterChar"/>
    <w:unhideWhenUsed/>
    <w:rsid w:val="00317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DD"/>
  </w:style>
  <w:style w:type="paragraph" w:styleId="ListParagraph">
    <w:name w:val="List Paragraph"/>
    <w:basedOn w:val="Normal"/>
    <w:uiPriority w:val="34"/>
    <w:qFormat/>
    <w:rsid w:val="003172DD"/>
    <w:pPr>
      <w:ind w:left="720"/>
      <w:contextualSpacing/>
    </w:pPr>
  </w:style>
  <w:style w:type="character" w:customStyle="1" w:styleId="Heading2Char">
    <w:name w:val="Heading 2 Char"/>
    <w:basedOn w:val="DefaultParagraphFont"/>
    <w:link w:val="Heading2"/>
    <w:rsid w:val="007557A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557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57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557A1"/>
    <w:rPr>
      <w:sz w:val="16"/>
      <w:szCs w:val="16"/>
    </w:rPr>
  </w:style>
  <w:style w:type="paragraph" w:styleId="CommentText">
    <w:name w:val="annotation text"/>
    <w:basedOn w:val="Normal"/>
    <w:link w:val="CommentTextChar"/>
    <w:uiPriority w:val="99"/>
    <w:semiHidden/>
    <w:unhideWhenUsed/>
    <w:rsid w:val="007557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57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Perrin</dc:creator>
  <cp:keywords/>
  <dc:description/>
  <cp:lastModifiedBy>Autumn M. Knotts</cp:lastModifiedBy>
  <cp:revision>2</cp:revision>
  <dcterms:created xsi:type="dcterms:W3CDTF">2017-03-28T12:48:00Z</dcterms:created>
  <dcterms:modified xsi:type="dcterms:W3CDTF">2017-03-28T12:48:00Z</dcterms:modified>
</cp:coreProperties>
</file>